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附件1</w:t>
      </w:r>
    </w:p>
    <w:p>
      <w:pPr>
        <w:overflowPunct w:val="0"/>
        <w:spacing w:line="579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overflowPunct w:val="0"/>
        <w:spacing w:line="579" w:lineRule="exact"/>
        <w:jc w:val="center"/>
        <w:textAlignment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场所码应用指南</w:t>
      </w:r>
    </w:p>
    <w:bookmarkEnd w:id="0"/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什么是“场所码”？“场所码”由场所责任人实名申领，系唯一且不变的二维码标识，通过实现扫码数据与场所相关联，进一步提升疫情精准防控水平。不久前，南京市新冠肺炎疫情联防联控工作指挥部已明确将“场所码”作为疫情防控“扫码通行”的一种方式，在全市范围内推广应用。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那么，关于“场所码”，哪些知识您需要提前了解？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一、场所责任人自主申领“场所码”步骤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楷体_GBK"/>
          <w:szCs w:val="32"/>
        </w:rPr>
        <w:t>方式一</w:t>
      </w:r>
      <w:r>
        <w:rPr>
          <w:rFonts w:hint="eastAsia" w:eastAsia="方正仿宋_GBK"/>
          <w:szCs w:val="32"/>
        </w:rPr>
        <w:t>：关注“南京的我”微信小程序（首次登录需实名认证）申领，具体步骤如下：</w:t>
      </w:r>
    </w:p>
    <w:p>
      <w:pPr>
        <w:overflowPunct w:val="0"/>
        <w:jc w:val="center"/>
        <w:textAlignment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drawing>
          <wp:inline distT="0" distB="0" distL="0" distR="0">
            <wp:extent cx="5173345" cy="3056255"/>
            <wp:effectExtent l="0" t="0" r="825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overflowPunct w:val="0"/>
        <w:jc w:val="center"/>
        <w:textAlignment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drawing>
          <wp:inline distT="0" distB="0" distL="0" distR="0">
            <wp:extent cx="4868545" cy="2899410"/>
            <wp:effectExtent l="0" t="0" r="825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楷体_GBK"/>
          <w:szCs w:val="32"/>
        </w:rPr>
        <w:t>方式二</w:t>
      </w:r>
      <w:r>
        <w:rPr>
          <w:rFonts w:hint="eastAsia" w:eastAsia="方正仿宋_GBK"/>
          <w:szCs w:val="32"/>
        </w:rPr>
        <w:t>：使用“我的南京”App（首次使用需下载并实名认证）申领，具体步骤如下：</w:t>
      </w:r>
    </w:p>
    <w:p>
      <w:pPr>
        <w:overflowPunct w:val="0"/>
        <w:jc w:val="center"/>
        <w:textAlignment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drawing>
          <wp:inline distT="0" distB="0" distL="0" distR="0">
            <wp:extent cx="5601970" cy="2355850"/>
            <wp:effectExtent l="0" t="0" r="177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二、“场所码”使用方法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人员进入场所时，可使用微信或“我的南京”App的“扫一扫”功能，通过扫描“场所码”自动跳转至“苏康码”页面，待场所管理人员确认绿码后通行，既完成了“亮码核验”，又实现了精准“打卡”。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首次扫码时需实名认证，建议提前完成“南京的我”微信小程序或“我的南京”App用户认证。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三、“场所码”适用区域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（一）宾馆、饭馆、旅店、酒店、招待所、咖啡馆、酒吧、茶座；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（二）公共浴室、理发店、美容店；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（三）影剧院、游艺厅（室）、KTV、音乐厅、网吧、桌游室、棋牌室；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（四）体育场（馆）、游泳场（馆）、公园、旅游景区；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（五）商业综合体、农集贸市场、超市、建筑工地、门面店（如烟酒店、水果店、小吃店、杂货店、书店等）；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（六）出租车（含网约车）、游船等；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（七）机关企事业单位、居民小区、医院、药店、诊所、学校、教育培训机构；</w:t>
      </w:r>
    </w:p>
    <w:p>
      <w:pPr>
        <w:overflowPunct w:val="0"/>
        <w:spacing w:line="579" w:lineRule="exact"/>
        <w:ind w:firstLine="622" w:firstLineChars="200"/>
        <w:textAlignment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（八）其他人群聚集的公共场所。</w:t>
      </w:r>
    </w:p>
    <w:p>
      <w:pPr>
        <w:wordWrap w:val="0"/>
        <w:spacing w:line="560" w:lineRule="exact"/>
        <w:ind w:firstLine="4656" w:firstLineChars="1600"/>
        <w:jc w:val="left"/>
        <w:rPr>
          <w:rFonts w:eastAsia="方正黑体_GBK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start="4"/>
          <w:cols w:space="425" w:num="1"/>
          <w:docGrid w:type="linesAndChars" w:linePitch="579" w:charSpace="-184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  <w:r>
      <w:rPr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2022-04-02T07:55:30Z</dcterms:created>
  <dc:creator>Administrator</dc:creator>
  <cp:lastModifiedBy>咿索喻言</cp:lastModifiedBy>
  <dcterms:modified xsi:type="dcterms:W3CDTF">2022-04-02T07:55:43Z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A6CC6FAEE237490DBC0EA4170EA78CAE</vt:lpwstr>
  </property>
</Properties>
</file>